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861" w:type="dxa"/>
        <w:jc w:val="center"/>
        <w:tblLayout w:type="autofit"/>
        <w:tblCellMar>
          <w:top w:w="0" w:type="dxa"/>
          <w:left w:w="0" w:type="dxa"/>
          <w:bottom w:w="0" w:type="dxa"/>
          <w:right w:w="0" w:type="dxa"/>
        </w:tblCellMar>
      </w:tblPr>
      <w:tblGrid>
        <w:gridCol w:w="709"/>
        <w:gridCol w:w="1276"/>
        <w:gridCol w:w="1701"/>
        <w:gridCol w:w="9072"/>
        <w:gridCol w:w="1103"/>
      </w:tblGrid>
      <w:tr w14:paraId="04CCED1C">
        <w:trPr>
          <w:trHeight w:val="644" w:hRule="atLeast"/>
          <w:jc w:val="center"/>
        </w:trPr>
        <w:tc>
          <w:tcPr>
            <w:tcW w:w="13861" w:type="dxa"/>
            <w:gridSpan w:val="5"/>
            <w:tcBorders>
              <w:top w:val="nil"/>
              <w:left w:val="nil"/>
              <w:bottom w:val="single" w:color="auto" w:sz="4" w:space="0"/>
              <w:right w:val="nil"/>
            </w:tcBorders>
            <w:noWrap/>
            <w:tcMar>
              <w:top w:w="15" w:type="dxa"/>
              <w:left w:w="15" w:type="dxa"/>
              <w:bottom w:w="0" w:type="dxa"/>
              <w:right w:w="15" w:type="dxa"/>
            </w:tcMar>
            <w:vAlign w:val="center"/>
          </w:tcPr>
          <w:p w14:paraId="2D031F3E">
            <w:pPr>
              <w:pStyle w:val="2"/>
              <w:rPr>
                <w:rFonts w:hint="eastAsia" w:ascii="仿宋_GB2312" w:hAnsi="仿宋_GB2312" w:eastAsia="仿宋_GB2312" w:cs="仿宋_GB2312"/>
              </w:rPr>
            </w:pPr>
            <w:r>
              <w:rPr>
                <w:rFonts w:hint="eastAsia" w:ascii="仿宋_GB2312" w:hAnsi="仿宋_GB2312" w:eastAsia="仿宋_GB2312" w:cs="仿宋_GB2312"/>
              </w:rPr>
              <w:t xml:space="preserve">附件1: </w:t>
            </w:r>
          </w:p>
          <w:p w14:paraId="6BD263D7">
            <w:pPr>
              <w:widowControl/>
              <w:jc w:val="center"/>
              <w:rPr>
                <w:rFonts w:ascii="仿宋_GB2312" w:hAnsi="仿宋_GB2312" w:eastAsia="仿宋_GB2312"/>
                <w:b/>
                <w:bCs/>
                <w:color w:val="000000"/>
                <w:sz w:val="36"/>
                <w:szCs w:val="36"/>
              </w:rPr>
            </w:pPr>
          </w:p>
          <w:p w14:paraId="014D128A">
            <w:pPr>
              <w:widowControl/>
              <w:jc w:val="center"/>
              <w:rPr>
                <w:rFonts w:ascii="仿宋_GB2312" w:hAnsi="仿宋_GB2312" w:eastAsia="仿宋_GB2312"/>
                <w:b/>
                <w:bCs/>
                <w:color w:val="000000"/>
                <w:kern w:val="0"/>
                <w:sz w:val="36"/>
                <w:szCs w:val="36"/>
              </w:rPr>
            </w:pPr>
            <w:bookmarkStart w:id="0" w:name="_GoBack"/>
            <w:r>
              <w:rPr>
                <w:rFonts w:hint="eastAsia" w:ascii="仿宋_GB2312" w:hAnsi="仿宋_GB2312" w:eastAsia="仿宋_GB2312"/>
                <w:b/>
                <w:bCs/>
                <w:color w:val="000000"/>
                <w:sz w:val="36"/>
                <w:szCs w:val="36"/>
              </w:rPr>
              <w:t>中国教育会计学会2026年研究课题指南</w:t>
            </w:r>
            <w:bookmarkEnd w:id="0"/>
          </w:p>
        </w:tc>
      </w:tr>
      <w:tr w14:paraId="4AFEBC50">
        <w:trPr>
          <w:trHeight w:val="593"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4B10EC2">
            <w:pPr>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序号</w:t>
            </w:r>
          </w:p>
        </w:tc>
        <w:tc>
          <w:tcPr>
            <w:tcW w:w="1276"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79007AB">
            <w:pPr>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研究方向</w:t>
            </w: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B8307E2">
            <w:pPr>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课题层级</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CD23DFE">
            <w:pPr>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课题名称</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8A131C3">
            <w:pPr>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备注</w:t>
            </w:r>
          </w:p>
        </w:tc>
      </w:tr>
      <w:tr w14:paraId="0397F757">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98B24ED">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rPr>
              <w:t>1</w:t>
            </w:r>
          </w:p>
        </w:tc>
        <w:tc>
          <w:tcPr>
            <w:tcW w:w="1276" w:type="dxa"/>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A146619">
            <w:pPr>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预算管理</w:t>
            </w: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B9DAA4B">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A9AD796">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十五五周期公办高校零基预算制度落地堵点破解与常态化长效治理机制研究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14D7540">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3F483795">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7F864F9">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F469048">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119DC52">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825F82C">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办学定位差异化视角下各类高校经费投入产出效益分层评价体系研究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3AEADA3">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3AA33A1D">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0892226">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7EFEF89">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AC52B8C">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92445FE">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办学战略牵引下高校预算—绩效—资源配置闭环治理逻辑与落地路径研究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F9DFA97">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0878DF33">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2F93A69">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E4299BF">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C1118CA">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6F0E681">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新质生产力赋能高校学科专项支出绩效差异化评价与提质增效实证研究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2C7DD12">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500219F3">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0174AF9">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8A3E2B6">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23D3910">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1C2BF3B">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智能算法赋能高校科研预算绩效动态研判与精准管控实践研究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72EF88E">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6C50CAAA">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BAA6494">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2E171C8">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DD6F4C7">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A793815">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全链条闭环视角下高校项目预算评审、过程监控与绩效联动机制优化研究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769438A">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7735DC46">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27BCB2C">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22E5B16">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7691776">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5B5D3BF">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全生命周期项目库赋能高校存量闲置预算资源盘活与动态调配机制研究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B8923FA">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605F2978">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68505AF2">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8</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DBDD6F2">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6EBE45F">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2A4DE10">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“过紧日子”常态化背景下地方高校非刚性支出精细化管控路径研究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9E7E594">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4147C00E">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DC6BE1B">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9</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C77DFAA">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DCC25AB">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BCDF1B4">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基层财务视角下预算绩效理念落地壁垒与常态化培育路径研究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6BE657A">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34A23045">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89F9E8B">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10</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E9222F3">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7537FD8">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95C6AD2">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高校预算绩效信息公开标准化建设与社会监督协同治理路径研究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97ABC9A">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40BFA942">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D22961E">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11</w:t>
            </w:r>
          </w:p>
        </w:tc>
        <w:tc>
          <w:tcPr>
            <w:tcW w:w="1276" w:type="dxa"/>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2E5C893">
            <w:pPr>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内部控制</w:t>
            </w: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44C9AC7">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9DA82F0">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新《会计法》深化实施背景下高校财会监督、内控、审计穿透式协同治理机制研究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EDDDEF9">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2212CF04">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3CD28A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12</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09DB383">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CFC7371">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BE5A17F">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权责清单改革导向下高校采购全业务链条内控流程重构与刚性约束机制研究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3717142">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1B91AF4F">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69C7E5B">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13</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CA841D8">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DF30509">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F1516FD">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多渠道筹资办学下高校债务安全阈值测算与全流程内控风险缓释机制研究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71FD740">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7B4E71FD">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EFF2352">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14</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CFACE6A">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CCD993E">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67CA61C">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数字化审计赋能高校附属单位、二级机构内控薄弱环节提质整改机制研究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6FD37B2">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1494F53E">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B77FE4F">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15</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563D8DF">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2839105">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C5F3485">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医教研协同发展目标下高校附属医院财务内控差异化适配体系构建研究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B6ECBFF">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3290FBFD">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1910BE3">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16</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481DE6E">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53EE912">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9801979">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高校异地办学分支机构财务垂直监管与内控标准化落地机制研究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25E312A">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0DAB6148">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F1FE9AE">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17</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654B113">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A19D8ED">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CA3F0B0">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科研经费分层授权机制下“放管服”改革与内控合规动态平衡路径研究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8555BB1">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0607227F">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2BFC1AE">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18</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175DE5F">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1E091CB">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F45FAD4">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高校后勤服务社会化场景下财务内控流程优化与精细化风控研究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AB46803">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10D74F86">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AC308B9">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19</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7328FF4">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9C948F3">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A006CCA">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高校公益类捐赠资金专户管理、专款专用与内控风险隔离机制研究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D5A6B67">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48FB946C">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F1279F5">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20</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2DD8145">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6B52908">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EF3E036">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行政事业单位内控规范在地方高校的本土化适配与落地改良路径研究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CED5C52">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64383921">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679DCE1">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21</w:t>
            </w:r>
          </w:p>
        </w:tc>
        <w:tc>
          <w:tcPr>
            <w:tcW w:w="1276" w:type="dxa"/>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C1BA849">
            <w:pPr>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资产管理</w:t>
            </w: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C13DECD">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1570F9F">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数智化转型赋能高校全口径固定资产全生命周期闭环管理体系研究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3FF4CF6">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5F4202AB">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BF496EE">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22</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14F1089">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13A3D12">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245CB8F">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高校国有资产与科技成果转化深度融合的价值增值与权属管控机制研究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A9EF5A2">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747F5F17">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26D4A85">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23</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5D06F1D">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843781E">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F63D370">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新质生产力发展导向下高校资产配置与年度预算动态联动协同机制研究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3B366E6">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362FF71A">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56FF7E1">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24</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3855CC3">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E447F80">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4DC4976">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数据要素市场化背景下高校数据资产分层估值与落地应用体系研究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1FB065E">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3842F5CA">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692767B3">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25</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7C23444">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05BE04E">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FB8F4BD">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高校大型科研仪器开放共享分级激励与绩效动态考核机制研究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591DFC9">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4EBB944B">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BDC2311">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26</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73A3777">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F6EA67A">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2F54C6A">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高校房屋类固定资产运维成本分摊、更新改造与处置闭环机制研究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7818441">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5C4678CC">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D34E38E">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27</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10A7E0D">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A928CCB">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33019F1">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高校知识产权无形资产市场化转化的税费管控与风险规避机制研究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760165C">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1DCBC454">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6951ED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28</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1CD4485">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ACA8C6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779A023">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高校校办经营性企业资产常态化风险排查与动态监管机制研究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00152A2">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13E17474">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D379C30">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29</w:t>
            </w:r>
          </w:p>
        </w:tc>
        <w:tc>
          <w:tcPr>
            <w:tcW w:w="1276" w:type="dxa"/>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96FB6D4">
            <w:pPr>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财务信息化</w:t>
            </w: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DC5B13D">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42D6348">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数据要素流通视角下高校业财深度融合赋能办学价值提升机制研究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C4666C5">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2E61C5EC">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B3D344C">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30</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60C1D42">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9CB11B2">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E728D4B">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多模态大模型赋能高校财务智能决策中枢搭建与风险隔离体系研究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BA32F7E">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5CB603DD">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7F2BDB5">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31</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664B3D4">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0539538">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19070F1">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高校财务数据资产确权、脱敏共享与合规利用一体化机制研究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D49A119">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4083C6CF">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DBF0F93">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32</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5C54F86">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D888857">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9E36872">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全国统一电子凭证落地背景下高校财务全流程标准化适配改造研究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42A9431">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00D624BB">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A6ED715">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33</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93DF8FA">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9855913">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BB707F8">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高校财务自动化核算系统与预算、资产系统数据互通提质路径研究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7B9754E">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01144B81">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24BC2EC">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34</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F8198ED">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9D47C20">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7AAA669">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纸电融合改革下高校电子会计档案分级存储、销毁与溯源管理研究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8BEF6F0">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03AC4427">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2A14013">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35</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F23D2D2">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C5BB74A">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59359E5">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高校财务信息系统分级防护、漏洞排查与数据应急处置机制研究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0EC48AA">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05E26E3F">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2BF4DF6">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36</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01E816A">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D5765B4">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CE56727">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轻量化AI大模型在高校科研经费事前预警与风险拦截中的应用研究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7B2EAB1">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252D1808">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AAC0BE6">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37</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5516C6B">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FB913FE">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A40F049">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数智化转型背景下高校财会复合型人才数字素养培育框架研究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84EE17C">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4958D87C">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DFFB768">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38</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62BFC14">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072694D">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03E873E">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高校教育成本核算数字化落地适配性优化研究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9D707F2">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5B10ADD0">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075E1C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39</w:t>
            </w:r>
          </w:p>
        </w:tc>
        <w:tc>
          <w:tcPr>
            <w:tcW w:w="1276" w:type="dxa"/>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563ECEE">
            <w:pPr>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政府采购</w:t>
            </w: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5854BB1">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5B58810">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新法修订背景下高校政府采购治理现代化制度适配与迭代机制研究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031A196">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5349C055">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9E8F8D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40</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99F9970">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ACE3A27">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499A330">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全生命周期视角下高校政府采购“物有所值”分层绩效评价体系研究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5164B0B">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03E18E3D">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F6466D4">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41</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9C9A6B6">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80D69D6">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5A208CA">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高校政府采购赋能科创赋能绿色低碳的政策叠加落地机制研究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4380340">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4350DF5C">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F1A616B">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42</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2184CF8">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94D8CC0">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F1D869A">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高校重大专项采购项目全流程廉政风险前置排查与源头治理研究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AC1AE85">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5DB3DAAB">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095AB5C">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43</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8DBA137">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CC4AF0A">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07C20B3">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高校采购数字化平台跨部门数据贯通、权限管控与协同治理研究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4FF357D">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1D7F3D9C">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7D8BF4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44</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12F6CAD">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368E6D1">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A6B9BB7">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高校工程采购“评定分离”模式标准化流程与异议监督机制研究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D41B9BC">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566E6DA6">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56B5B1F">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45</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29378BE">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E8C11FA">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E9A6E85">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高校绿色采购、中小企业扶持政策组合落地考核与优化机制研究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58EE832">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54AE108C">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65716EF1">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46</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BB9F422">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7D79B5D">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56FFE8C">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巡视整改常态化视角下高校采购领域长效治理与漏洞修补机制研究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48530CE">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7C35B32F">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4BDB02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47</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C1C04E9">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9F54DB1">
            <w:pPr>
              <w:jc w:val="center"/>
              <w:rPr>
                <w:rFonts w:hint="eastAsia" w:ascii="仿宋_GB2312" w:hAnsi="仿宋_GB2312" w:eastAsia="仿宋_GB2312" w:cs="仿宋_GB2312"/>
              </w:rPr>
            </w:pPr>
            <w:r>
              <w:rPr>
                <w:rFonts w:hint="eastAsia" w:ascii="仿宋_GB2312" w:hAnsi="仿宋_GB2312" w:eastAsia="仿宋_GB2312" w:cs="仿宋_GB2312"/>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2B23A45">
            <w:pPr>
              <w:jc w:val="left"/>
              <w:rPr>
                <w:rFonts w:hint="eastAsia" w:ascii="仿宋_GB2312" w:hAnsi="仿宋_GB2312" w:eastAsia="仿宋_GB2312" w:cs="仿宋_GB2312"/>
              </w:rPr>
            </w:pPr>
            <w:r>
              <w:rPr>
                <w:rFonts w:hint="eastAsia" w:ascii="仿宋_GB2312" w:hAnsi="仿宋_GB2312" w:eastAsia="仿宋_GB2312" w:cs="仿宋_GB2312"/>
              </w:rPr>
              <w:t>高校采购代理机构与评审专家动态信用考核与退出机制研究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A724109">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5F6D5F5C">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32805C4">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48</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171F510">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BD33DE1">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1F9BD20">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高校小额零星采购异常交易识别与常态化防控实操机制研究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4D94D0A">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740AC6D2">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1F02764">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49</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523C812">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8BF42D7">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C741D07">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高校框架协议采购分品类风险研判与规范化操作路径研究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D8A772C">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07762BA2">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C7A5F99">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50</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DB24D6B">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C50DDBC">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557434C">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高校采购负面清单落地堵点梳理与配套优化保障措施研究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FBD97D2">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0B8E3D62">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B749F3F">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51</w:t>
            </w:r>
          </w:p>
        </w:tc>
        <w:tc>
          <w:tcPr>
            <w:tcW w:w="1276"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40E12F9">
            <w:pPr>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资金结算与管理</w:t>
            </w: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AFAA130">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C069A43">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教育强国建设背景下地方高校多元经费长效投入与稳供机制研究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458BE6C">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1A4F138A">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6AD58DB9">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52</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DAAEA18">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0E3662C">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ED37C73">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高校分类办学视域下债务风险分级预警、缓释与化解长效机制研究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25A3925">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45038B60">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66AD5977">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53</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34E1D3F">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6C4CCC3">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6F00445">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数智赋能高校专项资金全流程动态监控、绩效纠偏与风险管控研究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0E0A416">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1B280E30">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406C23C">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54</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2564D5E">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3E2D342">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FCF6916">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不同类型双一流高校银校合作差异化模式与资金风险防控研究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2FF673C">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71B9D453">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6AB5136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55</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FB6C165">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1260B24">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B8660EA">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高校“两重两新”基建专项资金分阶段均衡配置与动态调整研究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D4095A6">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4D9C112F">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11357E3">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56</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E1F49F3">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164C8BD">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27601AE">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中外高校教育基金会筹资结构与监管模式对比及本土化借鉴研究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42B5657">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7EE7CA99">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74C2026">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57</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E7A371C">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1A0F6D3">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729EBB2">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青年教师科研经费全流程线上管理优化与“放管服”落地路径研究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E43ECFF">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5B9533AA">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D54593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58</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7EFD379">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69094C9">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3A8B5F8">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高校科技成果转化分期回款资金专户管理与财税统筹机制研究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A59A17D">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6E02D84A">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5EBF952">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59</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8C87C3B">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E52BB2D">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6E37BB9">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中外合作办学成本精准核算与差异化定价补偿机制研究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00E41E5">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574B1A1D">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E307083">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60</w:t>
            </w:r>
          </w:p>
        </w:tc>
        <w:tc>
          <w:tcPr>
            <w:tcW w:w="1276" w:type="dxa"/>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3594582">
            <w:pPr>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经费统计</w:t>
            </w: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2CC3FB4">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0B4AE10">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十五五教育经费统计数据全流程校验、质量溯源与评估体系构建研究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E867535">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6000EFF8">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735BCA6">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61</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3931EA5">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E0B80FA">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A5FB2EA">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分学段教育经费统计标准化建设与跨部门数据共享协同机制研究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45F886A">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360C390C">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F02F668">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62</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FB3AA2E">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A947B9B">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D56BB6D">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基层学校经费统计台账规范化建设与数据错漏整改提升路径研究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36147CC">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0630BA2D">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DF55655">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63</w:t>
            </w:r>
          </w:p>
        </w:tc>
        <w:tc>
          <w:tcPr>
            <w:tcW w:w="1276"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7FDAD9C">
            <w:pPr>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职业教育财务治理</w:t>
            </w: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9F9EC05">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3E07E6C">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产教融合赋能下高职院校高质量发展分层分类绩效评价体系研究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65E996C">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448FABC9">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6630014">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64</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6F06CDCA">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311A601">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71A7CA9">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“双高计划”项目增值评价导向下预决算效能动态提升机制研究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E2D2275">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5FB7CA72">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6BE0A38">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65</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39AFC21">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BC76C81">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C9A8DFF">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产业资本参与职教办学的多元投入激励与风险分担机制研究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046304D">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01144E25">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8DE5467">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66</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458B6DA">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A6BB552">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117C276">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内生性产教融合场景下职校业财融合痛点破解与优化路径研究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78C0121">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384A2C99">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3069E4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67</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FF31CE1">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CA7B838">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9530AAE">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人工智能技术赋能高职院校财务风险智能干预机制研究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1CD9E99">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4F30F618">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09DBB55">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68</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E2865E0">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ED90C7B">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7C096D0">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党建引领高职院校基层财务治理能力提质升级实践研究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2667205">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7B3107B1">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45DCD1D">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69</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D929592">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B80D92E">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9189D11">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高职专业群建设专项经费精准配置与产出效益适配路径研究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04E6979">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0B473394">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3010F1C">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70</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AAD57BF">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70C2B87">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8EEBEAC">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高职本科建设期财税优惠政策台账化落地与效能提升研究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A15A426">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5FC3D871">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5926C36">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71</w:t>
            </w:r>
          </w:p>
        </w:tc>
        <w:tc>
          <w:tcPr>
            <w:tcW w:w="1276"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D4E3D58">
            <w:pPr>
              <w:jc w:val="center"/>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基础教育财务治理</w:t>
            </w: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D9417C2">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5604F90">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学龄人口动态变动下基础教育经费区域均衡配置长效保障机制研究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AD8F1E0">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31241B55">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7535E7C">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72</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45CA96A">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1DC36C8">
            <w:pPr>
              <w:jc w:val="center"/>
              <w:rPr>
                <w:rFonts w:hint="eastAsia" w:ascii="仿宋_GB2312" w:hAnsi="仿宋_GB2312" w:eastAsia="仿宋_GB2312" w:cs="仿宋_GB2312"/>
                <w:color w:val="FF0000"/>
              </w:rPr>
            </w:pPr>
            <w:r>
              <w:rPr>
                <w:rFonts w:hint="eastAsia" w:ascii="仿宋_GB2312" w:hAnsi="仿宋_GB2312" w:eastAsia="仿宋_GB2312" w:cs="仿宋_GB2312"/>
                <w:color w:val="FF0000"/>
              </w:rPr>
              <w:t>重点课题</w:t>
            </w:r>
          </w:p>
        </w:tc>
        <w:tc>
          <w:tcPr>
            <w:tcW w:w="9072" w:type="dxa"/>
            <w:tcBorders>
              <w:top w:val="single" w:color="auto" w:sz="4" w:space="0"/>
              <w:left w:val="nil"/>
              <w:bottom w:val="single" w:color="auto" w:sz="4" w:space="0"/>
              <w:right w:val="nil"/>
            </w:tcBorders>
            <w:noWrap/>
            <w:tcMar>
              <w:top w:w="15" w:type="dxa"/>
              <w:left w:w="15" w:type="dxa"/>
              <w:bottom w:w="0" w:type="dxa"/>
              <w:right w:w="15" w:type="dxa"/>
            </w:tcMar>
            <w:vAlign w:val="center"/>
          </w:tcPr>
          <w:p w14:paraId="782E4003">
            <w:pPr>
              <w:jc w:val="left"/>
              <w:rPr>
                <w:rFonts w:hint="eastAsia" w:ascii="仿宋_GB2312" w:hAnsi="仿宋_GB2312" w:eastAsia="仿宋_GB2312" w:cs="仿宋_GB2312"/>
                <w:color w:val="FF0000"/>
              </w:rPr>
            </w:pPr>
            <w:r>
              <w:rPr>
                <w:rFonts w:hint="eastAsia" w:ascii="仿宋_GB2312" w:hAnsi="仿宋_GB2312" w:eastAsia="仿宋_GB2312" w:cs="仿宋_GB2312"/>
                <w:color w:val="FF0000"/>
              </w:rPr>
              <w:t>中小学校财务制度落地研究</w:t>
            </w:r>
          </w:p>
        </w:tc>
        <w:tc>
          <w:tcPr>
            <w:tcW w:w="110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15ABD7D">
            <w:pPr>
              <w:rPr>
                <w:rFonts w:hint="eastAsia" w:ascii="仿宋_GB2312" w:hAnsi="仿宋_GB2312" w:eastAsia="仿宋_GB2312" w:cs="仿宋_GB2312"/>
                <w:color w:val="FF0000"/>
              </w:rPr>
            </w:pPr>
            <w:r>
              <w:rPr>
                <w:rFonts w:hint="eastAsia" w:ascii="仿宋_GB2312" w:hAnsi="仿宋_GB2312" w:eastAsia="仿宋_GB2312" w:cs="仿宋_GB2312"/>
                <w:color w:val="FF0000"/>
              </w:rPr>
              <w:t>　</w:t>
            </w:r>
          </w:p>
        </w:tc>
      </w:tr>
      <w:tr w14:paraId="366B5485">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1396B30">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73</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2D1EC14">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A5A745C">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B2ED6FF">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普通高中分层办学模式下预算绩效管理差异化落地机制研究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EFACBDB">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6E161F1A">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E96427D">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74</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5819CE2">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86C8463">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61F8E39">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中小学财务风险分级识别、前置预警与闭环整改管控机制研究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3A00CC1">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36421335">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61B4243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75</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56DEA19B">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5EA9DA9">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4AF3AE2">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县域义务教育校际经费使用效益横向对标与提质增效机制研究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172A573">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3B5A3317">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FE79759">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76</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2A5E290">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0F16EC1">
            <w:pPr>
              <w:jc w:val="center"/>
              <w:rPr>
                <w:rFonts w:hint="eastAsia" w:ascii="仿宋_GB2312" w:hAnsi="仿宋_GB2312" w:eastAsia="仿宋_GB2312" w:cs="仿宋_GB2312"/>
                <w:color w:val="00B0F0"/>
              </w:rPr>
            </w:pPr>
            <w:r>
              <w:rPr>
                <w:rFonts w:hint="eastAsia" w:ascii="仿宋_GB2312" w:hAnsi="仿宋_GB2312" w:eastAsia="仿宋_GB2312" w:cs="仿宋_GB2312"/>
                <w:color w:val="00B0F0"/>
              </w:rPr>
              <w:t>面上课题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9329DAE">
            <w:pPr>
              <w:jc w:val="left"/>
              <w:rPr>
                <w:rFonts w:hint="eastAsia" w:ascii="仿宋_GB2312" w:hAnsi="仿宋_GB2312" w:eastAsia="仿宋_GB2312" w:cs="仿宋_GB2312"/>
                <w:color w:val="00B0F0"/>
              </w:rPr>
            </w:pPr>
            <w:r>
              <w:rPr>
                <w:rFonts w:hint="eastAsia" w:ascii="仿宋_GB2312" w:hAnsi="仿宋_GB2312" w:eastAsia="仿宋_GB2312" w:cs="仿宋_GB2312"/>
                <w:color w:val="00B0F0"/>
              </w:rPr>
              <w:t>中小学零基预算落地难点梳理与简易化编制优化路径研究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5D80590">
            <w:pPr>
              <w:rPr>
                <w:rFonts w:hint="eastAsia" w:ascii="仿宋_GB2312" w:hAnsi="仿宋_GB2312" w:eastAsia="仿宋_GB2312" w:cs="仿宋_GB2312"/>
                <w:color w:val="00B0F0"/>
              </w:rPr>
            </w:pPr>
            <w:r>
              <w:rPr>
                <w:rFonts w:hint="eastAsia" w:ascii="仿宋_GB2312" w:hAnsi="仿宋_GB2312" w:eastAsia="仿宋_GB2312" w:cs="仿宋_GB2312"/>
                <w:color w:val="00B0F0"/>
              </w:rPr>
              <w:t>　</w:t>
            </w:r>
          </w:p>
        </w:tc>
      </w:tr>
      <w:tr w14:paraId="46290A30">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E66C1AA">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77</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720551A">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E6D7EB7">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9A31C21">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城区公办小学财会队伍业财融合实操能力分层培育路径研究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617AFC2C">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2B0E1B57">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F78A3FD">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78</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237DE80">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45FBA2D">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7763CD9">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公办中小学食堂运营模式与财务风险防控研究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E0904E9">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r w14:paraId="0FFF5046">
        <w:trPr>
          <w:trHeight w:val="301" w:hRule="atLeast"/>
          <w:jc w:val="center"/>
        </w:trPr>
        <w:tc>
          <w:tcPr>
            <w:tcW w:w="70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73B9106">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79</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3378AC4">
            <w:pPr>
              <w:rPr>
                <w:rFonts w:hint="eastAsia" w:ascii="仿宋_GB2312" w:hAnsi="仿宋_GB2312" w:eastAsia="仿宋_GB2312" w:cs="仿宋_GB2312"/>
                <w:b/>
                <w:bCs/>
                <w:color w:val="000000"/>
                <w:sz w:val="24"/>
                <w:szCs w:val="24"/>
              </w:rPr>
            </w:pPr>
          </w:p>
        </w:tc>
        <w:tc>
          <w:tcPr>
            <w:tcW w:w="170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4D35726">
            <w:pPr>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青年课题</w:t>
            </w:r>
          </w:p>
        </w:tc>
        <w:tc>
          <w:tcPr>
            <w:tcW w:w="90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5AC30D64">
            <w:pPr>
              <w:jc w:val="left"/>
              <w:rPr>
                <w:rFonts w:hint="eastAsia" w:ascii="仿宋_GB2312" w:hAnsi="仿宋_GB2312" w:eastAsia="仿宋_GB2312" w:cs="仿宋_GB2312"/>
                <w:color w:val="000000"/>
              </w:rPr>
            </w:pPr>
            <w:r>
              <w:rPr>
                <w:rFonts w:hint="eastAsia" w:ascii="仿宋_GB2312" w:hAnsi="仿宋_GB2312" w:eastAsia="仿宋_GB2312" w:cs="仿宋_GB2312"/>
                <w:color w:val="000000"/>
              </w:rPr>
              <w:t>区县义务教育学校小额经济合同标准化风控与案例应用研究</w:t>
            </w:r>
          </w:p>
        </w:tc>
        <w:tc>
          <w:tcPr>
            <w:tcW w:w="1103"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7E5A533">
            <w:pPr>
              <w:rPr>
                <w:rFonts w:hint="eastAsia" w:ascii="仿宋_GB2312" w:hAnsi="仿宋_GB2312" w:eastAsia="仿宋_GB2312" w:cs="仿宋_GB2312"/>
                <w:color w:val="000000"/>
              </w:rPr>
            </w:pPr>
            <w:r>
              <w:rPr>
                <w:rFonts w:hint="eastAsia" w:ascii="仿宋_GB2312" w:hAnsi="仿宋_GB2312" w:eastAsia="仿宋_GB2312" w:cs="仿宋_GB2312"/>
                <w:color w:val="000000"/>
              </w:rPr>
              <w:t>　</w:t>
            </w:r>
          </w:p>
        </w:tc>
      </w:tr>
    </w:tbl>
    <w:p w14:paraId="5F4D8EA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等线">
    <w:altName w:val="汉仪中等线KW"/>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3B7A09"/>
    <w:rsid w:val="543B7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outlineLvl w:val="0"/>
    </w:pPr>
    <w:rPr>
      <w:rFonts w:ascii="Times New Roman" w:hAnsi="Times New Roman" w:cstheme="minorBidi"/>
      <w:b/>
      <w:kern w:val="44"/>
      <w:sz w:val="28"/>
      <w:szCs w:val="2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2026-07-27T14:58:00Z</dcterms:created>
  <dc:creator>可乐泡泡好舒畅</dc:creator>
  <cp:lastModifiedBy>可乐泡泡好舒畅</cp:lastModifiedBy>
  <dcterms:modified xsi:type="dcterms:W3CDTF">2026-07-27T14:59:41Z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D58CB67132AE94029F01676A5D955318_41</vt:lpwstr>
  </property>
</Properties>
</file>