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rPr>
        <w:t>附件2：</w:t>
      </w:r>
      <w:bookmarkStart w:id="0" w:name="_Hlk183372192"/>
      <w:r>
        <w:rPr>
          <w:rFonts w:hint="eastAsia" w:ascii="仿宋_GB2312" w:hAnsi="仿宋_GB2312" w:eastAsia="仿宋_GB2312" w:cs="仿宋_GB2312"/>
          <w:sz w:val="32"/>
          <w:szCs w:val="32"/>
        </w:rPr>
        <w:t>中国教育会计学会2022年立项面上课题通过结题课题信息统计表</w:t>
      </w:r>
      <w:bookmarkEnd w:id="0"/>
      <w:bookmarkEnd w:id="1"/>
    </w:p>
    <w:tbl>
      <w:tblPr>
        <w:tblStyle w:val="2"/>
        <w:tblW w:w="5041"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5048"/>
        <w:gridCol w:w="2717"/>
        <w:gridCol w:w="1007"/>
        <w:gridCol w:w="2162"/>
        <w:gridCol w:w="173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blHeader/>
        </w:trPr>
        <w:tc>
          <w:tcPr>
            <w:tcW w:w="245"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序号</w:t>
            </w:r>
          </w:p>
        </w:tc>
        <w:tc>
          <w:tcPr>
            <w:tcW w:w="1765"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名称</w:t>
            </w:r>
          </w:p>
        </w:tc>
        <w:tc>
          <w:tcPr>
            <w:tcW w:w="950"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申报单位</w:t>
            </w:r>
          </w:p>
        </w:tc>
        <w:tc>
          <w:tcPr>
            <w:tcW w:w="352"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课题负责人</w:t>
            </w:r>
          </w:p>
        </w:tc>
        <w:tc>
          <w:tcPr>
            <w:tcW w:w="756"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课题编号</w:t>
            </w:r>
          </w:p>
        </w:tc>
        <w:tc>
          <w:tcPr>
            <w:tcW w:w="605"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课题方向</w:t>
            </w:r>
          </w:p>
        </w:tc>
        <w:tc>
          <w:tcPr>
            <w:tcW w:w="323" w:type="pct"/>
            <w:vAlign w:val="center"/>
          </w:tcPr>
          <w:p>
            <w:pPr>
              <w:autoSpaceDE w:val="0"/>
              <w:autoSpaceDN w:val="0"/>
              <w:adjustRightInd w:val="0"/>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浙大城市学院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王  炜</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JYKJ2022-001MS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内部控制在高校全面预算绩效管理中应用研究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江苏农牧科技职业学院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涂小丽</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JYKJ2022-002MS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基于业财融合的高校预算管理探讨</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首都医科大学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王秋菊</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JYKJ2022-003MS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广东医科大学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欧凯丽</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JYKJ2022-004MS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业财融合助推高校预算绩效精细化管理对策研究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沈阳农业大学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李  莹</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JYKJ2022-005MS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徐州工程学院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邵明昱</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JYKJ2022-006MS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高校预算支出标准体系构建及应用研究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辽宁科技大学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张国庆</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JYKJ2022-007MS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lang w:bidi="ar"/>
              </w:rPr>
              <w:t>业财融合提升高校预算绩效精细化管理水平研究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lang w:bidi="ar"/>
              </w:rPr>
              <w:t>内蒙古科技大学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lang w:bidi="ar"/>
              </w:rPr>
              <w:t>张晓娜</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lang w:bidi="ar"/>
              </w:rPr>
              <w:t>JYKJ2022-008MS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业财相适视角下高校预算绩效精细化管理研究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南京工业职业技术大学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钱  轶</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JYKJ2022-009MS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山西省财政税务专科学校</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韩伟杰</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JYKJ2022-010MS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河海大学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严晓利</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JYKJ2022-011MS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基于业财融合提升高校预算绩效精细化管理水平的路径研究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陕西职业技术学院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燕  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JYKJ2022-012MS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基于业财融合的高校全面预算绩效管理研究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石家庄铁道大学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武  琼</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JYKJ2022-013MS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内部控制在高校全面预算绩效管理中应用研究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石家庄学院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李  多</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JYKJ2022-014MS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高校“双一流”建设项目绩效指标设置及应用研究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中国地质大学（武汉）</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彭  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JYKJ2022-015MS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高校财政项目支出核心绩效目标和指标设置研究—以“双一流”建设专项资金为例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北京化工大学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陈  思</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JYKJ2022-016MS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西安工业大学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王  晔</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JYKJ2022-017MS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基于内控视角下高校预算绩效管理研究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江苏农牧科技职业技术学院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朱  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JYKJ2022-018MS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19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内部控制在高校全面预算绩效管理中的应用研究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鲁东大学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葛洪朋</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JYKJ2022-019MS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陕西工业职业技术学院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王荣琦</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JYKJ2022-020MS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结合绩效预算的高校新零基预算改革方案</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中国矿业大学（北京）</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房玉硕</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JYKJ2022-021MS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业财融合提升高校预算绩效精细化管理水平</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南京审计大学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黄  雷</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JYKJ2022-022MS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基于“业财融合”的高校预算绩效精细化管理探索——以Z大学为例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刘倩倩</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JYKJ2022-023MS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24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高校零基预算改革探索—以Y高校为例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北京邮电大学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张  红</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bidi="ar"/>
              </w:rPr>
              <w:t>JYKJ2022-024MS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内部控制在高校全面预算绩效管理中应用研究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北京农业职业学院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孙晓宁</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JYKJ2022-025MS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基于预算管理一体化的高校绩效管理研究—以“双一流”高校为例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欧阳玲</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JYKJ2022-026MS</w:t>
            </w:r>
          </w:p>
        </w:tc>
        <w:tc>
          <w:tcPr>
            <w:tcW w:w="605" w:type="pct"/>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预算绩效管理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27</w:t>
            </w:r>
          </w:p>
        </w:tc>
        <w:tc>
          <w:tcPr>
            <w:tcW w:w="1765" w:type="pct"/>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合作共建项目（科研、基建）财务监管风险研究—高校合作共建基建项目财务监管风险研究</w:t>
            </w:r>
          </w:p>
        </w:tc>
        <w:tc>
          <w:tcPr>
            <w:tcW w:w="950" w:type="pct"/>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天津市教育委员会财务与资产管理中心</w:t>
            </w:r>
          </w:p>
        </w:tc>
        <w:tc>
          <w:tcPr>
            <w:tcW w:w="352" w:type="pct"/>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刘  旭</w:t>
            </w:r>
          </w:p>
        </w:tc>
        <w:tc>
          <w:tcPr>
            <w:tcW w:w="756" w:type="pct"/>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JYKJ2022-027MS</w:t>
            </w:r>
          </w:p>
        </w:tc>
        <w:tc>
          <w:tcPr>
            <w:tcW w:w="605" w:type="pct"/>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rPr>
              <w:t>内控与财务风险管理</w:t>
            </w:r>
          </w:p>
        </w:tc>
        <w:tc>
          <w:tcPr>
            <w:tcW w:w="323" w:type="pct"/>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智慧财务背景下高校内控风险与对策研究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中国地质大学（武汉）</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王丽娟</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JYKJ2022-028MS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内部控制能力与风险管理水平对高校整体绩效影响研究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山西大学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田  洁</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JYKJ2022-029MS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大数据背景下基于机器学习的高校财务报销审核风险识别和控制研究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广州大学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袁仁淼</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基于区块链技术的高校附属医院债务风险监管研究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南方医科大学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陈焕新</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高校智慧财务风险风险监控应用研究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电子科技大学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维</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JYKJ2022-032MS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数字化转型时期高校财务报销审核风险控制架构研究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合肥工业大学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倪梦琦</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JYKJ2022-033MS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基于内控建设与信息系统融合的大型仪器设备资源共享平台研究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徐爱兰</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基于信息化的财务风险控制体系构建</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李坤峪</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基于COSO新框架下的S高校所属企业风险管理体系构建</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陈秋云</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智慧财务视角下高校财务内部控制流程再造研究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合肥工业大学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张可莉</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“数字化经济+内控”背景下高校财政电子票据落地纵深化研究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缨</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基于大数据的财务审核风险模型设计与应用研究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东北林业大学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孙百原</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JYKJ2022-039MS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基于智慧财务的高校财务内控优化与风险管控研究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河北工业大学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王璟璇</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内部控制视角下高校合同管理平台建设研究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北京交通大学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何文俊</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基于数据分析的高等学校财务报销监管模型与机制研究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陈钰怡</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JYKJ2022-042MS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高校科研项目外拨资金的财务监管风险研究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李彩霞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JYKJ2022-043MS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高校内控建设与信息系统融合典型案例研究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浙江大学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张吕园</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高等学校校属企业风险监管研究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西南交通大学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伏芸冬</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新形势财务管理风险预警体制机制研究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山东中医药大学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薛建辉</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预算管理一体化下四川省属高校财务管理研究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四川师范大学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夏冬梅</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基于大数据视角的财务报销审核风险控制模型研究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浙江大学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李姿曼</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基于大数据的高等学校财务报销风险控制模型研究—以X大学为例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陈娟丽</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JYKJ2022-049MS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新形势下高校财务管理风险预警机制研究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南京中医药大学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王静梅</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高校附属医院政府采购内部控制建设研究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厦门大学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许熠堃</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内控与财务风险管理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高校动植物类资产的确认、初始计量及后续计量的研究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北京农业职业学院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杨东波</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JYKJ2022-053MS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高校长期股权投资的取得、持有期间及处置等全过程的核算与管理研究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同济大学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林  嫣</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JYKJ2022-054MS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高校在建工程转固过程中各类资产的核算与管理的研究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科</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基于会计实务的林木资产确认、计量及处置的研究—以N林业院校为例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东北林业大学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张小慧</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高校自行研发无形资产全生命周期管理与核算研究—以LL大学为例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大连理工大学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孟  欣</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基于资产清查视角的高校固定资产核算与管理研究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余  艺</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高校在建工程转固过程中各类资产的核算与管理的研究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天津市教育委员会财务与资产管理中心</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旭</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JYKJ2022-059MS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高校固定资产的核算与管理研究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中国地质大学（北京）</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王士国</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政府会计制度下高校固定资产折旧问题探析</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浙江农林大学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汤家忆</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新会计制度下高校固定资产折旧管理研究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河北工程大学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申  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JYKJ2022-062MS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资产管理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数智技术赋能下高校差旅平台实践与思考</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合肥工业大学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清</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预算管理一体化背景下预算控制指标及支付体系建设研究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吴登山</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基于财务管理模式优化的二级学院财务智能化转型研究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上海交通大学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张林石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JYKJ2022-066MS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数智化时代高校智能财务平台构建与应用研究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暨南大学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璐</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数智化转型提升高校财务分析与决策能力</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徐  菲</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规则内嵌的智慧网报系统关键技术研究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华中科技大学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王士贤</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JYKJ2022-069MS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财务信用承诺制体系研究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华中科技大学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易元祥</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高校成本核算数据治理研究--以LG高校为例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四川大学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付稚茹</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JYKJ2022-072MS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规则内嵌的智慧财务系统关键技术研究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清华大学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马聪敏</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杨敬霞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JYKJ2022-073MS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高校预算一体化背景下的数据共享关键技术研究-基于大数据+云会计视角</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广州大学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冼迪曦</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基于高校财务大数据分析用户画像及可视化平台的设计</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北京林业大学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张伟明</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highlight w:val="yellow"/>
                <w:lang w:bidi="ar"/>
              </w:rPr>
            </w:pPr>
            <w:r>
              <w:rPr>
                <w:rFonts w:hint="eastAsia" w:ascii="仿宋_GB2312" w:hAnsi="仿宋_GB2312" w:eastAsia="仿宋_GB2312" w:cs="仿宋_GB2312"/>
                <w:color w:val="000000"/>
                <w:kern w:val="0"/>
                <w:szCs w:val="21"/>
                <w:lang w:bidi="ar"/>
              </w:rPr>
              <w:t>JYKJ2022-075MS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高校财务信用承诺制体系研究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北京交通大学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  岚</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基于智慧财务的高校电子会计档案实施方案研究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中山大学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李彩霞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教育财务智能化与未来财务管理模式的研究与探索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西北工业大学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呼瑞雪</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大数据和人工智能背景下高校财务工作流程再造探索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哈尔滨医科大学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贾  岩</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JYKJ2022-079MS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教育财务大数据分析与研究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山东第一医科大学</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（山东省医学科学院）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钟彩霞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JYKJ2022-080MS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教育财务智能化与未来财务管理模式的研究与探索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北京工业大学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马林河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JYKJ2022-081MS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财务信息化管理</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职教大型仪器设备共建共享平台智能化运行管理的实践与探索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淄博职业学院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程德亮</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JYKJ2022-085MS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产教融合背景下职业教育多元投入的实践与探索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山东科技职业学院</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山东商业职业技术学院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崔萍萍</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张艳慧</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JYKJ2022-088MS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职业高等教育新闻传媒专业大类教育成本研究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山东科技职业学院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郑德前</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JYKJ2022-089MS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职业教育财务数字化建设的实践与探索--基于区块链技术应用路径研究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广东科学技术职业学院</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广州番禺职业技术学院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詹宏锋</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黄漪岚</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JYKJ2022-090MS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高职院校财务、审计、纪检等监督形成合力体制机制研究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青岛职业技术学院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刘  丹</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JYKJ2022-091MS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现代化手段介入职业院校预算绩效内控一体化的实践与探索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山东商业职业技术学院</w:t>
            </w:r>
          </w:p>
          <w:p>
            <w:pPr>
              <w:widowControl/>
              <w:spacing w:line="32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四川财经职业学院</w:t>
            </w:r>
          </w:p>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陕西工业职业技术学院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  凯</w:t>
            </w:r>
          </w:p>
          <w:p>
            <w:pPr>
              <w:widowControl/>
              <w:spacing w:line="32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邱永芳</w:t>
            </w:r>
          </w:p>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赵宏强</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JYKJ2022-094MS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基于财务共享服务的高校财务管理模式研究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宁波城市职业技术学院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陈燕飞</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JYKJ2022-095MS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职业院校财务报告与决算报告编制有关问题探究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河北对外经贸职业学院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刘锦艳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JYKJ2022-096MS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87</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职业高等院校内部控制风险评估与防患的探索与实践</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广州铁路职业技术学院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王一林</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JYKJ2022-098MS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88</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基于“双高计划”财务管理云数据共享平台应用实践与探索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常州工业职业技术学院</w:t>
            </w:r>
          </w:p>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山西建筑职业技术学院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崔  吉</w:t>
            </w:r>
          </w:p>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柴玉辉</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JYKJ2022-099MS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89</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职业院校采购管理内部控制评价的实践与探究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山西工程职业学院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谭  斌</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JYKJ2022-100MS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90</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预算管理一体化视角下采用权责发生制业务账务处理的探索</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漳州职业技术学院</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温州职业技术学院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叶碧红</w:t>
            </w:r>
          </w:p>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吴冬敏</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JYKJ2022-101MS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职业教育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91</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中小学校财务管理信息化模式的研究——以广州市为例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广州市越秀区教育局财务结算中心</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杨  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JYKJ2022-102MS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92</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中小学校教育财务管理研究团队建设的探究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杭州市教育科学研究院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郭建平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JYKJ2022-103MS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93</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中小学校经费投入使用对提升基础教育质量研究——以广东省为例</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广州市越秀区清水濠小学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蔡华颖</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JYKJ2022-104MS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94</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“校财局管”模式下基层教育财务治理平台构建</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温州第二高级中学教育集团</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蔡海鸣</w:t>
            </w:r>
          </w:p>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麻晓琨</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FF0000"/>
                <w:kern w:val="0"/>
                <w:szCs w:val="21"/>
                <w:lang w:bidi="ar"/>
              </w:rPr>
            </w:pPr>
            <w:r>
              <w:rPr>
                <w:rFonts w:hint="eastAsia" w:ascii="仿宋_GB2312" w:hAnsi="仿宋_GB2312" w:eastAsia="仿宋_GB2312" w:cs="仿宋_GB2312"/>
                <w:color w:val="000000"/>
                <w:kern w:val="0"/>
                <w:szCs w:val="21"/>
                <w:lang w:bidi="ar"/>
              </w:rPr>
              <w:t>JYKJ2022-105MS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95</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中小学校“校财局管”模式优化研究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滕州市教育和体育局</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庞金良</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JYKJ2022-106MS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245" w:type="pct"/>
            <w:tcBorders>
              <w:top w:val="single" w:color="000000" w:sz="4" w:space="0"/>
              <w:left w:val="single" w:color="000000" w:sz="8" w:space="0"/>
              <w:bottom w:val="single" w:color="000000" w:sz="4" w:space="0"/>
              <w:right w:val="single" w:color="000000" w:sz="4" w:space="0"/>
            </w:tcBorders>
            <w:shd w:val="clear" w:color="auto" w:fill="auto"/>
            <w:vAlign w:val="center"/>
          </w:tcPr>
          <w:p>
            <w:pPr>
              <w:autoSpaceDE w:val="0"/>
              <w:autoSpaceDN w:val="0"/>
              <w:adjustRightInd w:val="0"/>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96</w:t>
            </w:r>
          </w:p>
        </w:tc>
        <w:tc>
          <w:tcPr>
            <w:tcW w:w="1765"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公办中小学内控常见问题探究</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广州市越秀区中山三路小学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蔡月艳</w:t>
            </w:r>
          </w:p>
        </w:tc>
        <w:tc>
          <w:tcPr>
            <w:tcW w:w="756" w:type="pct"/>
            <w:tcBorders>
              <w:top w:val="single" w:color="000000" w:sz="4" w:space="0"/>
              <w:left w:val="single" w:color="000000" w:sz="4" w:space="0"/>
              <w:bottom w:val="single" w:color="000000" w:sz="4" w:space="0"/>
              <w:right w:val="single" w:color="000000" w:sz="8" w:space="0"/>
            </w:tcBorders>
            <w:shd w:val="clear" w:color="auto" w:fill="auto"/>
            <w:vAlign w:val="center"/>
          </w:tcPr>
          <w:p>
            <w:pPr>
              <w:autoSpaceDE w:val="0"/>
              <w:autoSpaceDN w:val="0"/>
              <w:adjustRightInd w:val="0"/>
              <w:jc w:val="left"/>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JYKJ2022-107MS</w:t>
            </w:r>
          </w:p>
        </w:tc>
        <w:tc>
          <w:tcPr>
            <w:tcW w:w="605"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基础教育</w:t>
            </w:r>
          </w:p>
        </w:tc>
        <w:tc>
          <w:tcPr>
            <w:tcW w:w="323" w:type="pct"/>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_GB2312" w:hAnsi="仿宋_GB2312" w:eastAsia="仿宋_GB2312" w:cs="仿宋_GB2312"/>
                <w:color w:val="000000"/>
                <w:kern w:val="0"/>
                <w:szCs w:val="21"/>
              </w:rPr>
            </w:pPr>
          </w:p>
        </w:tc>
      </w:tr>
    </w:tbl>
    <w:p>
      <w:pPr>
        <w:widowControl/>
        <w:jc w:val="left"/>
        <w:rPr>
          <w:rFonts w:ascii="仿宋_GB2312" w:hAnsi="仿宋_GB2312" w:eastAsia="仿宋_GB2312" w:cs="仿宋_GB2312"/>
        </w:rPr>
      </w:pPr>
      <w:r>
        <w:rPr>
          <w:rFonts w:hint="eastAsia" w:ascii="仿宋_GB2312" w:hAnsi="仿宋_GB2312" w:eastAsia="仿宋_GB2312" w:cs="仿宋_GB2312"/>
        </w:rPr>
        <w:t>注：2022年立项面上课题结题96项。其中预算绩效管理26项、内控与财务风险管理25项、资产管理10项、财务信息化管理17项、职业教育12项和基础教育项6项。</w:t>
      </w: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pPr>
        <w:widowControl/>
        <w:jc w:val="left"/>
        <w:rPr>
          <w:rFonts w:ascii="仿宋_GB2312" w:hAnsi="仿宋_GB2312" w:eastAsia="仿宋_GB2312" w:cs="仿宋_GB231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B400B"/>
    <w:rsid w:val="7BFD9793"/>
    <w:rsid w:val="7FBBBF8E"/>
    <w:rsid w:val="FDDB400B"/>
    <w:rsid w:val="FF1A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2024-11-27T16:10:00Z</dcterms:created>
  <dc:creator>可乐泡泡好舒畅</dc:creator>
  <cp:lastModifiedBy>可乐泡泡好舒畅</cp:lastModifiedBy>
  <dcterms:modified xsi:type="dcterms:W3CDTF">2024-11-27T16:12:57Z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6ABF5B1F1445E4CD89D44667C6E1188F_43</vt:lpwstr>
  </property>
</Properties>
</file>